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91824" w14:textId="77777777" w:rsidR="006768DF" w:rsidRPr="003C0CBE" w:rsidRDefault="00F86892">
      <w:pPr>
        <w:rPr>
          <w:b/>
          <w:sz w:val="28"/>
          <w:szCs w:val="28"/>
        </w:rPr>
      </w:pPr>
      <w:r w:rsidRPr="003C0CBE">
        <w:rPr>
          <w:b/>
          <w:sz w:val="28"/>
          <w:szCs w:val="28"/>
        </w:rPr>
        <w:t>Bouwstenen</w:t>
      </w:r>
      <w:r w:rsidR="00D269E4" w:rsidRPr="003C0CBE">
        <w:rPr>
          <w:b/>
          <w:sz w:val="28"/>
          <w:szCs w:val="28"/>
        </w:rPr>
        <w:t xml:space="preserve"> van actieve PvdA’ers</w:t>
      </w:r>
      <w:r w:rsidRPr="003C0CBE">
        <w:rPr>
          <w:b/>
          <w:sz w:val="28"/>
          <w:szCs w:val="28"/>
        </w:rPr>
        <w:t xml:space="preserve"> voor een visie van de PvdA en Groen Links over het voedselsysteem.</w:t>
      </w:r>
    </w:p>
    <w:p w14:paraId="117FFF76" w14:textId="77777777" w:rsidR="00F86892" w:rsidRDefault="00F86892">
      <w:r>
        <w:t>Motto: Gezond en duurzaam voedsel betaalbaar voor iedereen.</w:t>
      </w:r>
    </w:p>
    <w:p w14:paraId="7678184C" w14:textId="77777777" w:rsidR="00F86892" w:rsidRPr="003C0CBE" w:rsidRDefault="00F86892">
      <w:pPr>
        <w:rPr>
          <w:b/>
          <w:sz w:val="24"/>
          <w:szCs w:val="24"/>
        </w:rPr>
      </w:pPr>
      <w:r w:rsidRPr="003C0CBE">
        <w:rPr>
          <w:b/>
          <w:sz w:val="24"/>
          <w:szCs w:val="24"/>
        </w:rPr>
        <w:t xml:space="preserve">Aanleiding: </w:t>
      </w:r>
    </w:p>
    <w:p w14:paraId="784911EB" w14:textId="421BEEEF" w:rsidR="00F86892" w:rsidRDefault="00F86892" w:rsidP="00F86892">
      <w:pPr>
        <w:pStyle w:val="Lijstalinea"/>
        <w:numPr>
          <w:ilvl w:val="0"/>
          <w:numId w:val="1"/>
        </w:numPr>
      </w:pPr>
      <w:r>
        <w:t xml:space="preserve">Het huidige voedselsysteem levert </w:t>
      </w:r>
      <w:r w:rsidR="00BF454D">
        <w:t>onvoldoende</w:t>
      </w:r>
      <w:r>
        <w:t xml:space="preserve"> gezond en </w:t>
      </w:r>
      <w:r w:rsidR="00BF454D">
        <w:t xml:space="preserve">duurzaam voedsel dat </w:t>
      </w:r>
      <w:r>
        <w:t xml:space="preserve">betaalbaar </w:t>
      </w:r>
      <w:r w:rsidR="00BF454D">
        <w:t>is</w:t>
      </w:r>
      <w:r>
        <w:t xml:space="preserve"> voor iedereen</w:t>
      </w:r>
      <w:r w:rsidR="00AB740F">
        <w:t>.</w:t>
      </w:r>
    </w:p>
    <w:p w14:paraId="26415D62" w14:textId="2CA48AEB" w:rsidR="00F86892" w:rsidRDefault="00F86892" w:rsidP="00F86892">
      <w:pPr>
        <w:pStyle w:val="Lijstalinea"/>
        <w:numPr>
          <w:ilvl w:val="0"/>
          <w:numId w:val="1"/>
        </w:numPr>
      </w:pPr>
      <w:r>
        <w:t>De ‘</w:t>
      </w:r>
      <w:proofErr w:type="spellStart"/>
      <w:r>
        <w:t>planetary</w:t>
      </w:r>
      <w:proofErr w:type="spellEnd"/>
      <w:r>
        <w:t xml:space="preserve"> </w:t>
      </w:r>
      <w:proofErr w:type="spellStart"/>
      <w:r>
        <w:t>boundaries</w:t>
      </w:r>
      <w:proofErr w:type="spellEnd"/>
      <w:r>
        <w:t>’ worden in veel landen (met name Nederland) door de huidige wijze van landbouw sterk overschreden (klimaat, stikstof, biodiversiteit, water, bodemvruchtbaarheid</w:t>
      </w:r>
      <w:r w:rsidR="002009E7">
        <w:t xml:space="preserve">, </w:t>
      </w:r>
      <w:proofErr w:type="spellStart"/>
      <w:r w:rsidR="002009E7">
        <w:t>zoönosen</w:t>
      </w:r>
      <w:proofErr w:type="spellEnd"/>
      <w:r>
        <w:t>).</w:t>
      </w:r>
      <w:r w:rsidR="002009E7">
        <w:t xml:space="preserve"> De kosten daarvan worden afgewenteld op volgende generaties.</w:t>
      </w:r>
    </w:p>
    <w:p w14:paraId="34A83991" w14:textId="7C69E9A0" w:rsidR="00F86892" w:rsidRDefault="00F86892" w:rsidP="00F86892">
      <w:pPr>
        <w:pStyle w:val="Lijstalinea"/>
        <w:numPr>
          <w:ilvl w:val="0"/>
          <w:numId w:val="1"/>
        </w:numPr>
      </w:pPr>
      <w:r>
        <w:t>Grote consumptie van ongezond voedsel</w:t>
      </w:r>
      <w:r w:rsidR="00114BF2">
        <w:t xml:space="preserve"> </w:t>
      </w:r>
      <w:r w:rsidR="00114BF2" w:rsidRPr="00FB793C">
        <w:t>(door een voedselomgeving met veel ongezond aanbod)</w:t>
      </w:r>
      <w:r>
        <w:t xml:space="preserve"> heeft enorme consequenties voor de volksgezondheid.</w:t>
      </w:r>
      <w:r w:rsidR="002009E7">
        <w:t xml:space="preserve"> </w:t>
      </w:r>
      <w:r w:rsidR="002009E7" w:rsidRPr="00E10DF3">
        <w:t xml:space="preserve">De kosten daarvan </w:t>
      </w:r>
      <w:r w:rsidR="00912AF6" w:rsidRPr="00E10DF3">
        <w:t xml:space="preserve">dragen we nu, maar </w:t>
      </w:r>
      <w:r w:rsidR="002009E7" w:rsidRPr="00E10DF3">
        <w:t>worden</w:t>
      </w:r>
      <w:r w:rsidR="00912AF6" w:rsidRPr="00E10DF3">
        <w:t xml:space="preserve"> voor een groot deel ook</w:t>
      </w:r>
      <w:r w:rsidR="002009E7" w:rsidRPr="00912AF6">
        <w:rPr>
          <w:color w:val="FF0000"/>
        </w:rPr>
        <w:t xml:space="preserve"> </w:t>
      </w:r>
      <w:r w:rsidR="002009E7">
        <w:t>afgewenteld op volgende generaties</w:t>
      </w:r>
      <w:r w:rsidR="002F636D">
        <w:t>.</w:t>
      </w:r>
    </w:p>
    <w:p w14:paraId="34B535A9" w14:textId="77777777" w:rsidR="00F86892" w:rsidRPr="00117927" w:rsidRDefault="00F86892" w:rsidP="00F86892">
      <w:pPr>
        <w:rPr>
          <w:b/>
        </w:rPr>
      </w:pPr>
      <w:r w:rsidRPr="003C0CBE">
        <w:rPr>
          <w:b/>
          <w:sz w:val="24"/>
          <w:szCs w:val="24"/>
        </w:rPr>
        <w:t>PvdA uitgangspunten</w:t>
      </w:r>
      <w:r w:rsidRPr="00117927">
        <w:rPr>
          <w:b/>
        </w:rPr>
        <w:t>:</w:t>
      </w:r>
    </w:p>
    <w:p w14:paraId="26D860E6" w14:textId="430A921D" w:rsidR="00F86892" w:rsidRDefault="00F86892" w:rsidP="00F86892">
      <w:pPr>
        <w:pStyle w:val="Lijstalinea"/>
        <w:numPr>
          <w:ilvl w:val="0"/>
          <w:numId w:val="1"/>
        </w:numPr>
      </w:pPr>
      <w:r>
        <w:t>Recht op voedsel is een basisrecht</w:t>
      </w:r>
      <w:r w:rsidR="00202B2B">
        <w:t xml:space="preserve"> (bestaanszekerheid)</w:t>
      </w:r>
      <w:r>
        <w:t>. Gezond voedsel dient daarom betaalbaar en beschikbaar te zijn voor iedereen. Zowel in Nederland als mondiaal.</w:t>
      </w:r>
    </w:p>
    <w:p w14:paraId="560A1C7D" w14:textId="429935F2" w:rsidR="00F86892" w:rsidRDefault="00F86892" w:rsidP="00F86892">
      <w:pPr>
        <w:pStyle w:val="Lijstalinea"/>
        <w:numPr>
          <w:ilvl w:val="0"/>
          <w:numId w:val="1"/>
        </w:numPr>
      </w:pPr>
      <w:r>
        <w:t xml:space="preserve">Duurzame productie en consumptie vragen om aanpassing van zowel productie als consumptie. </w:t>
      </w:r>
    </w:p>
    <w:p w14:paraId="0AB76BCB" w14:textId="7E8AC88D" w:rsidR="00202B2B" w:rsidRDefault="00202B2B" w:rsidP="00F86892">
      <w:pPr>
        <w:pStyle w:val="Lijstalinea"/>
        <w:numPr>
          <w:ilvl w:val="0"/>
          <w:numId w:val="1"/>
        </w:numPr>
      </w:pPr>
      <w:r>
        <w:t>Bestaanszekerheid voor agrariërs is uitgangspunt, maar ook voorwaarde voor de transitie naar een duurzaam landbouwsysteem.</w:t>
      </w:r>
    </w:p>
    <w:p w14:paraId="5CF3C572" w14:textId="3F72299F" w:rsidR="00F86892" w:rsidRPr="003C0CBE" w:rsidRDefault="00F86892" w:rsidP="00F86892">
      <w:pPr>
        <w:rPr>
          <w:b/>
          <w:sz w:val="24"/>
          <w:szCs w:val="24"/>
        </w:rPr>
      </w:pPr>
      <w:r w:rsidRPr="003C0CBE">
        <w:rPr>
          <w:b/>
          <w:sz w:val="24"/>
          <w:szCs w:val="24"/>
        </w:rPr>
        <w:t>Waarom levert het voedselsysteem niet datgene wat het zou moeten leveren</w:t>
      </w:r>
      <w:r w:rsidR="006936E3" w:rsidRPr="003C0CBE">
        <w:rPr>
          <w:b/>
          <w:sz w:val="24"/>
          <w:szCs w:val="24"/>
        </w:rPr>
        <w:t>?</w:t>
      </w:r>
    </w:p>
    <w:p w14:paraId="0EEA7EAF" w14:textId="70CD9E3C" w:rsidR="00F86892" w:rsidRDefault="00F86892" w:rsidP="003C0CBE">
      <w:pPr>
        <w:pStyle w:val="Lijstalinea"/>
        <w:numPr>
          <w:ilvl w:val="0"/>
          <w:numId w:val="1"/>
        </w:numPr>
      </w:pPr>
      <w:r>
        <w:t xml:space="preserve">Het huidige systeem is </w:t>
      </w:r>
      <w:r w:rsidRPr="003C0CBE">
        <w:rPr>
          <w:b/>
          <w:bCs/>
        </w:rPr>
        <w:t>sterk ‘commodity’</w:t>
      </w:r>
      <w:r w:rsidR="007D296D" w:rsidRPr="003C0CBE">
        <w:rPr>
          <w:b/>
          <w:bCs/>
        </w:rPr>
        <w:t xml:space="preserve"> </w:t>
      </w:r>
      <w:r w:rsidRPr="003C0CBE">
        <w:rPr>
          <w:b/>
          <w:bCs/>
        </w:rPr>
        <w:t>gedreven</w:t>
      </w:r>
      <w:r>
        <w:t>, gericht op optimale economische opbrengsten</w:t>
      </w:r>
      <w:r w:rsidR="00DD1BDB">
        <w:t>. Kostprijsverlaging voor primair agrarische bedrijven gaat ten koste van andere waarden</w:t>
      </w:r>
      <w:r w:rsidR="007D296D">
        <w:t>, zoals bestaanszekerheid voor de boer</w:t>
      </w:r>
      <w:r w:rsidR="00FB793C">
        <w:t>, volksgezondheid en ecologische waarden.</w:t>
      </w:r>
    </w:p>
    <w:p w14:paraId="550AB200" w14:textId="013B01C5" w:rsidR="00DD1BDB" w:rsidRDefault="00117927" w:rsidP="003C0CBE">
      <w:pPr>
        <w:pStyle w:val="Lijstalinea"/>
        <w:numPr>
          <w:ilvl w:val="0"/>
          <w:numId w:val="1"/>
        </w:numPr>
      </w:pPr>
      <w:r>
        <w:t xml:space="preserve">Er is sprake van </w:t>
      </w:r>
      <w:proofErr w:type="spellStart"/>
      <w:r w:rsidRPr="003C0CBE">
        <w:rPr>
          <w:b/>
          <w:bCs/>
        </w:rPr>
        <w:t>marktfalen</w:t>
      </w:r>
      <w:proofErr w:type="spellEnd"/>
      <w:r w:rsidRPr="003C0CBE">
        <w:rPr>
          <w:b/>
          <w:bCs/>
        </w:rPr>
        <w:t>: Externe kosten</w:t>
      </w:r>
      <w:r>
        <w:t xml:space="preserve"> worden niet in marktprijzen verrekend; machtsconcentraties (o.a. ABCD, toeleverende en verwerkende bedrijven, </w:t>
      </w:r>
      <w:proofErr w:type="spellStart"/>
      <w:r>
        <w:t>retailconcentraties</w:t>
      </w:r>
      <w:proofErr w:type="spellEnd"/>
      <w:r>
        <w:t>) belemmeren een rechtvaardige verdeling van de toegevoegde waarde in de voedselketens.</w:t>
      </w:r>
      <w:r w:rsidR="00202B2B">
        <w:t xml:space="preserve"> Echter ook </w:t>
      </w:r>
      <w:r w:rsidR="00202B2B" w:rsidRPr="003C0CBE">
        <w:rPr>
          <w:b/>
          <w:bCs/>
        </w:rPr>
        <w:t>externe opbrengsten</w:t>
      </w:r>
      <w:r w:rsidR="00202B2B">
        <w:t xml:space="preserve"> van de landbouw komen niet goed in de marktprijzen tot uitdrukking.</w:t>
      </w:r>
    </w:p>
    <w:p w14:paraId="165B8D35" w14:textId="73F8BAF6" w:rsidR="00DD1BDB" w:rsidRDefault="00DD1BDB" w:rsidP="003C0CBE">
      <w:pPr>
        <w:pStyle w:val="Lijstalinea"/>
        <w:numPr>
          <w:ilvl w:val="0"/>
          <w:numId w:val="1"/>
        </w:numPr>
      </w:pPr>
      <w:r>
        <w:t xml:space="preserve">Er </w:t>
      </w:r>
      <w:r w:rsidR="00117927">
        <w:t xml:space="preserve">is sprake van </w:t>
      </w:r>
      <w:proofErr w:type="spellStart"/>
      <w:r w:rsidR="00117927" w:rsidRPr="003C0CBE">
        <w:rPr>
          <w:b/>
          <w:bCs/>
        </w:rPr>
        <w:t>beleidsfalen</w:t>
      </w:r>
      <w:proofErr w:type="spellEnd"/>
      <w:r w:rsidR="00117927">
        <w:t>: Zowel Internationale als Europese en Nederlandse beleid</w:t>
      </w:r>
      <w:r w:rsidR="007D296D">
        <w:t>s</w:t>
      </w:r>
      <w:r w:rsidR="00117927">
        <w:t xml:space="preserve">organisaties zijn gefocust op de economische factoren, </w:t>
      </w:r>
      <w:r w:rsidR="007D296D">
        <w:t xml:space="preserve">zodat in beleid overige waarden – zoals gezond betaalbaar voedsel voor iedereen </w:t>
      </w:r>
      <w:r w:rsidR="00BF454D">
        <w:t xml:space="preserve">- </w:t>
      </w:r>
      <w:r w:rsidR="007D296D">
        <w:t>niet worden meegenomen. O</w:t>
      </w:r>
      <w:r w:rsidR="00117927">
        <w:t>nvoldoende beleid wordt geformuleerd om de sectoren te prikkelen / dwingen om tot noodzakelijke aanpassingen te komen.</w:t>
      </w:r>
      <w:r w:rsidR="002009E7">
        <w:t xml:space="preserve"> Met name het beleid van de lidstaten / Nederland is sterk gericht op de korte termijn. </w:t>
      </w:r>
    </w:p>
    <w:p w14:paraId="402DCDD5" w14:textId="77777777" w:rsidR="003C0CBE" w:rsidRDefault="003C0CBE" w:rsidP="003C0CBE">
      <w:pPr>
        <w:ind w:left="360"/>
      </w:pPr>
    </w:p>
    <w:p w14:paraId="5144F09C" w14:textId="071B2569" w:rsidR="00D269E4" w:rsidRDefault="00D269E4" w:rsidP="003C0CBE">
      <w:pPr>
        <w:rPr>
          <w:bCs/>
        </w:rPr>
      </w:pPr>
      <w:r w:rsidRPr="003C0CBE">
        <w:rPr>
          <w:b/>
          <w:sz w:val="24"/>
          <w:szCs w:val="24"/>
        </w:rPr>
        <w:t>Welke aanpassingen zijn noodzakelijk?</w:t>
      </w:r>
    </w:p>
    <w:p w14:paraId="3776DCE0" w14:textId="352FF90C" w:rsidR="003C0CBE" w:rsidRPr="003C0CBE" w:rsidRDefault="003C0CBE" w:rsidP="003C0CBE">
      <w:pPr>
        <w:rPr>
          <w:b/>
          <w:i/>
          <w:iCs/>
        </w:rPr>
      </w:pPr>
      <w:r>
        <w:rPr>
          <w:b/>
          <w:i/>
          <w:iCs/>
        </w:rPr>
        <w:t>Europe</w:t>
      </w:r>
      <w:r w:rsidR="006A12BA">
        <w:rPr>
          <w:b/>
          <w:i/>
          <w:iCs/>
        </w:rPr>
        <w:t xml:space="preserve">se aanpak, bescherming duurzame markt, </w:t>
      </w:r>
      <w:r>
        <w:rPr>
          <w:b/>
          <w:i/>
          <w:iCs/>
        </w:rPr>
        <w:t xml:space="preserve"> internationa</w:t>
      </w:r>
      <w:r w:rsidR="006A12BA">
        <w:rPr>
          <w:b/>
          <w:i/>
          <w:iCs/>
        </w:rPr>
        <w:t xml:space="preserve">le solidariteit </w:t>
      </w:r>
    </w:p>
    <w:p w14:paraId="5CCF8004" w14:textId="77777777" w:rsidR="00D269E4" w:rsidRDefault="00D269E4" w:rsidP="003C0CBE">
      <w:pPr>
        <w:pStyle w:val="Lijstalinea"/>
        <w:numPr>
          <w:ilvl w:val="0"/>
          <w:numId w:val="2"/>
        </w:numPr>
      </w:pPr>
      <w:r>
        <w:t xml:space="preserve">Veel aanpassingen vragen – gelet op de Interne Markt - om een Europese aanpak. Een sterke ondersteuning van de voorstellen van Frans Timmermans met de “Farm </w:t>
      </w:r>
      <w:proofErr w:type="spellStart"/>
      <w:r>
        <w:t>to</w:t>
      </w:r>
      <w:proofErr w:type="spellEnd"/>
      <w:r>
        <w:t xml:space="preserve"> </w:t>
      </w:r>
      <w:proofErr w:type="spellStart"/>
      <w:r>
        <w:t>Fork</w:t>
      </w:r>
      <w:proofErr w:type="spellEnd"/>
      <w:r>
        <w:t xml:space="preserve"> </w:t>
      </w:r>
      <w:proofErr w:type="spellStart"/>
      <w:r>
        <w:t>strategy</w:t>
      </w:r>
      <w:proofErr w:type="spellEnd"/>
      <w:r>
        <w:t>” is noodzak</w:t>
      </w:r>
      <w:r w:rsidR="002A181B">
        <w:t xml:space="preserve">elijk. In die voorstellen gaat </w:t>
      </w:r>
      <w:r>
        <w:t>h</w:t>
      </w:r>
      <w:r w:rsidR="002A181B">
        <w:t>e</w:t>
      </w:r>
      <w:r>
        <w:t xml:space="preserve">t o.a. om een sterke reductie van het </w:t>
      </w:r>
      <w:proofErr w:type="spellStart"/>
      <w:r>
        <w:t>pesticidengebruik</w:t>
      </w:r>
      <w:proofErr w:type="spellEnd"/>
      <w:r>
        <w:t xml:space="preserve">, </w:t>
      </w:r>
      <w:r>
        <w:lastRenderedPageBreak/>
        <w:t>beperking van kunstmest</w:t>
      </w:r>
      <w:r w:rsidR="00117927">
        <w:t>, efficiënter omgaan met stikstof</w:t>
      </w:r>
      <w:r w:rsidR="002009E7">
        <w:t>, stimuleren van biologische of agro-ecologische landbouw</w:t>
      </w:r>
      <w:r w:rsidR="00117927">
        <w:t xml:space="preserve"> etc.</w:t>
      </w:r>
    </w:p>
    <w:p w14:paraId="2E0895A8" w14:textId="52D7494C" w:rsidR="00EF3E55" w:rsidRDefault="00EF3E55" w:rsidP="003C0CBE">
      <w:pPr>
        <w:pStyle w:val="Lijstalinea"/>
        <w:numPr>
          <w:ilvl w:val="0"/>
          <w:numId w:val="2"/>
        </w:numPr>
      </w:pPr>
      <w:r w:rsidRPr="00FB793C">
        <w:t>Een aanscherping van het Europese duurzaamheidsbeleid voor de landbouw vereist ook dat het handelsbeleid eisen stelt aan de import van grondstoffen en voedingsmiddelen die in landen geproduceerd worden met geringere eisen.</w:t>
      </w:r>
      <w:r w:rsidR="002F636D" w:rsidRPr="00FB793C">
        <w:t xml:space="preserve"> Ondersteuning van de Carbon-border taks past daarbij</w:t>
      </w:r>
      <w:r w:rsidR="002F636D">
        <w:t>.</w:t>
      </w:r>
      <w:r w:rsidR="006A12BA">
        <w:t xml:space="preserve"> </w:t>
      </w:r>
      <w:r w:rsidR="00912AF6" w:rsidRPr="00E10DF3">
        <w:t>Ontwikkelings</w:t>
      </w:r>
      <w:r w:rsidR="003F1BC2">
        <w:t>l</w:t>
      </w:r>
      <w:r w:rsidR="006A12BA" w:rsidRPr="00E10DF3">
        <w:t xml:space="preserve">anden </w:t>
      </w:r>
      <w:r w:rsidR="00912AF6" w:rsidRPr="00E10DF3">
        <w:t xml:space="preserve">en opkomende economieën </w:t>
      </w:r>
      <w:r w:rsidR="006A12BA" w:rsidRPr="00E10DF3">
        <w:t>die nu vnl. voedsel/voeder grondstoffen exporteren krijgen steun in de ontwikkeling van hun interne en regionale markt.</w:t>
      </w:r>
    </w:p>
    <w:p w14:paraId="6E4E70AB" w14:textId="652BFA57" w:rsidR="006A12BA" w:rsidRPr="006A12BA" w:rsidRDefault="006A12BA" w:rsidP="006A12BA">
      <w:pPr>
        <w:rPr>
          <w:b/>
          <w:bCs/>
          <w:i/>
          <w:iCs/>
        </w:rPr>
      </w:pPr>
      <w:r>
        <w:rPr>
          <w:b/>
          <w:bCs/>
          <w:i/>
          <w:iCs/>
        </w:rPr>
        <w:t>Keten, markt, sturing</w:t>
      </w:r>
    </w:p>
    <w:p w14:paraId="1F6EF026" w14:textId="21D7BFD6" w:rsidR="00117927" w:rsidRDefault="009875BB" w:rsidP="003C0CBE">
      <w:pPr>
        <w:pStyle w:val="Lijstalinea"/>
        <w:numPr>
          <w:ilvl w:val="0"/>
          <w:numId w:val="2"/>
        </w:numPr>
      </w:pPr>
      <w:r>
        <w:t xml:space="preserve">Van supermarkten en voedingsindustrie mag verwacht worden dat ze zorgen voor gezond en duurzaam voedsel. </w:t>
      </w:r>
      <w:r w:rsidR="007D296D">
        <w:t>Omdat zij dit vrijwillig onvoldoende realiseren, is w</w:t>
      </w:r>
      <w:r>
        <w:t>etgeving noodzakelijk.</w:t>
      </w:r>
      <w:r w:rsidR="002009E7">
        <w:t xml:space="preserve"> Ketens </w:t>
      </w:r>
      <w:r w:rsidR="007D296D">
        <w:t xml:space="preserve">moeten </w:t>
      </w:r>
      <w:r w:rsidR="002009E7">
        <w:t>worden verplicht tot duurzame ‘</w:t>
      </w:r>
      <w:proofErr w:type="spellStart"/>
      <w:r w:rsidR="002009E7">
        <w:t>sourcing</w:t>
      </w:r>
      <w:proofErr w:type="spellEnd"/>
      <w:r w:rsidR="002009E7">
        <w:t>’</w:t>
      </w:r>
      <w:r w:rsidR="0001272F">
        <w:t xml:space="preserve">: </w:t>
      </w:r>
      <w:r w:rsidR="00CB2865">
        <w:t>Hun leveranciers (primaire producenten</w:t>
      </w:r>
      <w:r w:rsidR="007D296D">
        <w:t>)</w:t>
      </w:r>
      <w:r w:rsidR="00CB2865">
        <w:t xml:space="preserve"> laten via een ‘afrekenbare stoffenbalans’ jaarlijks hun vorderingen zien.</w:t>
      </w:r>
      <w:r w:rsidR="00A804C1">
        <w:t xml:space="preserve"> Van hun leveranciers wordt verwacht dat de arbeidsomstandigheden op die bedrijven  (nationaal en internationaal) gerespecteerd worden.</w:t>
      </w:r>
      <w:r w:rsidR="008659ED">
        <w:t xml:space="preserve"> Er kan een vorm van certificering aan worden gehangen die voor de ketenpartijen bruikbaar is.</w:t>
      </w:r>
    </w:p>
    <w:p w14:paraId="7DFF9B59" w14:textId="75F43491" w:rsidR="009875BB" w:rsidRDefault="009875BB" w:rsidP="003C0CBE">
      <w:pPr>
        <w:pStyle w:val="Lijstalinea"/>
        <w:numPr>
          <w:ilvl w:val="0"/>
          <w:numId w:val="2"/>
        </w:numPr>
      </w:pPr>
      <w:r>
        <w:t>Ongezond voedsel zal duurder moeten worden</w:t>
      </w:r>
      <w:r w:rsidR="007D296D">
        <w:t xml:space="preserve"> om de keuze voor gezond voedsel bij consumenten te bevorderen</w:t>
      </w:r>
      <w:r>
        <w:t>. Inzet van het fiscaal instrumentarium is daarvoor noodzakelijk.</w:t>
      </w:r>
    </w:p>
    <w:p w14:paraId="59A53CEC" w14:textId="4B3A9F85" w:rsidR="0001272F" w:rsidRDefault="0001272F" w:rsidP="003C0CBE">
      <w:pPr>
        <w:pStyle w:val="Lijstalinea"/>
        <w:numPr>
          <w:ilvl w:val="0"/>
          <w:numId w:val="2"/>
        </w:numPr>
      </w:pPr>
      <w:r>
        <w:t>Van publieke instellingen mag verwacht worden dat ze bij hun catering er voor zorgen dat er gezond en duurzaam voedsel (bij voorkeur biologisch en plantaardig) aangeboden wordt in de kantines. Hierdoor kan de vraag naar b</w:t>
      </w:r>
      <w:r w:rsidR="002009E7">
        <w:t>iologisch of duurzaam geproduceerd voedsel</w:t>
      </w:r>
      <w:r>
        <w:t xml:space="preserve"> gestimuleerd worden</w:t>
      </w:r>
      <w:r w:rsidR="003C0CBE">
        <w:t>.</w:t>
      </w:r>
    </w:p>
    <w:p w14:paraId="77F737B0" w14:textId="77777777" w:rsidR="00E10DF3" w:rsidRPr="00E10DF3" w:rsidRDefault="00E10DF3" w:rsidP="003F1BC2">
      <w:pPr>
        <w:pStyle w:val="Lijstalinea"/>
        <w:ind w:left="501"/>
        <w:rPr>
          <w:highlight w:val="yellow"/>
        </w:rPr>
      </w:pPr>
      <w:r w:rsidRPr="00FB793C">
        <w:t>Herstel van de relaties tussen boer en burger, boer en bodem, natuur en burger k</w:t>
      </w:r>
      <w:r w:rsidRPr="00FE7A1A">
        <w:t>a</w:t>
      </w:r>
      <w:r w:rsidRPr="00FB793C">
        <w:t>n de waardering voor voedsel versterken. Korte ketens kunnen de voedseleducatie ondersteunen.</w:t>
      </w:r>
    </w:p>
    <w:p w14:paraId="21B66BA0" w14:textId="68DC5341" w:rsidR="002009E7" w:rsidRDefault="002009E7" w:rsidP="003C0CBE">
      <w:pPr>
        <w:pStyle w:val="Lijstalinea"/>
        <w:numPr>
          <w:ilvl w:val="0"/>
          <w:numId w:val="2"/>
        </w:numPr>
      </w:pPr>
      <w:r>
        <w:t xml:space="preserve">De voedselomgeving vraagt om een aanscherping van het beleid. </w:t>
      </w:r>
      <w:r w:rsidR="00DC7BFC">
        <w:t>Marketing van suikerhoudende dranken en alcohol wordt verboden. Supermarkten worden verplicht te rapporteren over hun ‘gezondheidsbeleid’ en hun klimaatbeleid. Resultaatverplichtingen voor supermarkten laten jaarlijks zien welke vorderingen gemaakt worden t.a.v. klimaat en gezondheidsdoelstellingen.</w:t>
      </w:r>
    </w:p>
    <w:p w14:paraId="513F27E1" w14:textId="632FCEEB" w:rsidR="002F636D" w:rsidRDefault="002F636D" w:rsidP="003C0CBE">
      <w:pPr>
        <w:pStyle w:val="Lijstalinea"/>
        <w:numPr>
          <w:ilvl w:val="0"/>
          <w:numId w:val="2"/>
        </w:numPr>
      </w:pPr>
      <w:r w:rsidRPr="00FB793C">
        <w:t>Eiwittransitie. We streven naar een eetpatroon dat vooral leunt op consumptie van plantaardige eiwitten. Dit is gewenst vanuit duurzaamheidsbeleid, volksgezondheid en mondiale voedselzekerheid.</w:t>
      </w:r>
    </w:p>
    <w:p w14:paraId="78A38E1F" w14:textId="11DF7057" w:rsidR="006A12BA" w:rsidRDefault="006A12BA" w:rsidP="006A12BA">
      <w:pPr>
        <w:ind w:left="141"/>
        <w:rPr>
          <w:b/>
          <w:bCs/>
          <w:i/>
          <w:iCs/>
        </w:rPr>
      </w:pPr>
      <w:r>
        <w:rPr>
          <w:b/>
          <w:bCs/>
          <w:i/>
          <w:iCs/>
        </w:rPr>
        <w:t>Verduurzaming: agro-ecologisch, kringlooplandbouw</w:t>
      </w:r>
    </w:p>
    <w:p w14:paraId="2469BFC3" w14:textId="19F739A9" w:rsidR="001165EC" w:rsidRPr="00E10DF3" w:rsidRDefault="001165EC" w:rsidP="001165EC">
      <w:pPr>
        <w:pStyle w:val="Lijstalinea"/>
        <w:numPr>
          <w:ilvl w:val="0"/>
          <w:numId w:val="2"/>
        </w:numPr>
      </w:pPr>
      <w:r w:rsidRPr="00E10DF3">
        <w:t xml:space="preserve">Duurzame landbouw betekent, in ieder geval in de grondgebonden bedrijfstakken: zoveel mogelijk werken volgens agro-ecologische methoden, telen van voedsel waar het kan, veeteelt waar dat past (gras, reststromen, veel minder ‘voer van ver’), zoveel mogelijk kringloop, </w:t>
      </w:r>
      <w:proofErr w:type="spellStart"/>
      <w:r w:rsidRPr="00E10DF3">
        <w:t>natuurinclusief</w:t>
      </w:r>
      <w:proofErr w:type="spellEnd"/>
      <w:r w:rsidRPr="00E10DF3">
        <w:t xml:space="preserve">. Dat betekent extensiever, met zoveel mogelijk toegevoegde waarde. Uitgangspunt is </w:t>
      </w:r>
      <w:r w:rsidR="003F1BC2">
        <w:t xml:space="preserve">zoveel mogelijk </w:t>
      </w:r>
      <w:r w:rsidRPr="00E10DF3">
        <w:t>in stand houden van bedrijven en landbouwareaal. De overheid ondersteunt actief bij de transitie, waaronder met grondpolitiek en herverkaveling.</w:t>
      </w:r>
    </w:p>
    <w:p w14:paraId="7587A896" w14:textId="77777777" w:rsidR="001165EC" w:rsidRPr="00E10DF3" w:rsidRDefault="001165EC" w:rsidP="001165EC">
      <w:pPr>
        <w:pStyle w:val="Lijstalinea"/>
        <w:numPr>
          <w:ilvl w:val="0"/>
          <w:numId w:val="2"/>
        </w:numPr>
      </w:pPr>
      <w:r w:rsidRPr="00E10DF3">
        <w:t xml:space="preserve">Nieuwe </w:t>
      </w:r>
      <w:proofErr w:type="spellStart"/>
      <w:r w:rsidRPr="00E10DF3">
        <w:t>veredelingstechieken</w:t>
      </w:r>
      <w:proofErr w:type="spellEnd"/>
      <w:r w:rsidRPr="00E10DF3">
        <w:t xml:space="preserve"> (CRISPR CAS) worden onder strenge voorwaarden toegestaan, nl. indien ze bijdragen aan de vermindering van het gebruik van chemische gewasbeschermingsmiddelen en aan de productie van voldoende en gezond voedsel. Snellere toelatingsprocedures van verantwoorde (</w:t>
      </w:r>
      <w:proofErr w:type="spellStart"/>
      <w:r w:rsidRPr="00E10DF3">
        <w:t>b.v.k</w:t>
      </w:r>
      <w:proofErr w:type="spellEnd"/>
      <w:r w:rsidRPr="00E10DF3">
        <w:t>. biologische) bestrijdingsmiddelen zijn gewenst.</w:t>
      </w:r>
    </w:p>
    <w:p w14:paraId="3C21FC1E" w14:textId="35903BB1" w:rsidR="006A12BA" w:rsidRDefault="006A12BA" w:rsidP="006A12BA">
      <w:pPr>
        <w:ind w:left="141"/>
        <w:rPr>
          <w:b/>
          <w:bCs/>
          <w:i/>
          <w:iCs/>
        </w:rPr>
      </w:pPr>
      <w:r w:rsidRPr="006A12BA">
        <w:rPr>
          <w:b/>
          <w:bCs/>
          <w:i/>
          <w:iCs/>
        </w:rPr>
        <w:t>Verdienmodel, transities</w:t>
      </w:r>
    </w:p>
    <w:p w14:paraId="4FE4DCF5" w14:textId="77777777" w:rsidR="0051577E" w:rsidRPr="003F1BC2" w:rsidRDefault="0051577E" w:rsidP="0051577E">
      <w:pPr>
        <w:pStyle w:val="Lijstalinea"/>
        <w:numPr>
          <w:ilvl w:val="0"/>
          <w:numId w:val="2"/>
        </w:numPr>
        <w:rPr>
          <w:highlight w:val="yellow"/>
        </w:rPr>
      </w:pPr>
      <w:r>
        <w:rPr>
          <w:bCs/>
          <w:iCs/>
        </w:rPr>
        <w:t xml:space="preserve"> </w:t>
      </w:r>
      <w:r w:rsidRPr="003F1BC2">
        <w:t>P</w:t>
      </w:r>
      <w:r w:rsidRPr="00FB793C">
        <w:t xml:space="preserve">ublieke gelden (GLB) moeten ingezet worden voor publieke waarden en doelen die niet via de markt gerealiseerd kunnen worden (landschaps- en natuurbeleid, klimaatbeleid </w:t>
      </w:r>
      <w:proofErr w:type="spellStart"/>
      <w:r w:rsidRPr="00FB793C">
        <w:t>etc</w:t>
      </w:r>
      <w:proofErr w:type="spellEnd"/>
      <w:r w:rsidRPr="00FB793C">
        <w:t xml:space="preserve">). Het blijkt </w:t>
      </w:r>
      <w:r w:rsidRPr="00FB793C">
        <w:lastRenderedPageBreak/>
        <w:t xml:space="preserve">dat in Europa door de markt voldoende voedsel geproduceerd wordt. Wetgeving is derhalve noodzakelijk om te bevorderen dat die productie op duurzame wijze plaatsvindt. Het nieuwe GLB dat vanaf 2027 in werking treedt, dient volgens deze principes vormgegeven te worden. </w:t>
      </w:r>
      <w:proofErr w:type="spellStart"/>
      <w:r w:rsidRPr="00FB793C">
        <w:t>Ecoregelingen</w:t>
      </w:r>
      <w:proofErr w:type="spellEnd"/>
      <w:r w:rsidRPr="00FB793C">
        <w:t xml:space="preserve"> en regelingen voor agrarisch natuur-en landschapsbeheer vragen om meerjarige / lange-termijn afspraken met boeren.</w:t>
      </w:r>
      <w:r w:rsidRPr="00FE7A1A">
        <w:t xml:space="preserve"> Positieve </w:t>
      </w:r>
      <w:proofErr w:type="spellStart"/>
      <w:r w:rsidRPr="00FE7A1A">
        <w:t>externaliteiten</w:t>
      </w:r>
      <w:proofErr w:type="spellEnd"/>
      <w:r w:rsidRPr="00FE7A1A">
        <w:t xml:space="preserve"> worden via uitbreiding van de </w:t>
      </w:r>
      <w:proofErr w:type="spellStart"/>
      <w:r w:rsidRPr="00FE7A1A">
        <w:t>eco</w:t>
      </w:r>
      <w:proofErr w:type="spellEnd"/>
      <w:r w:rsidRPr="00FE7A1A">
        <w:t>-regeling beloond, als vast onderdeel van het verdienmodel van duurzaam werkende agrarische bedrijven.</w:t>
      </w:r>
    </w:p>
    <w:p w14:paraId="2FE73B90" w14:textId="1D727751" w:rsidR="00FB793C" w:rsidRDefault="00A804C1" w:rsidP="003C0CBE">
      <w:pPr>
        <w:pStyle w:val="Lijstalinea"/>
        <w:numPr>
          <w:ilvl w:val="0"/>
          <w:numId w:val="2"/>
        </w:numPr>
      </w:pPr>
      <w:bookmarkStart w:id="0" w:name="_GoBack"/>
      <w:bookmarkEnd w:id="0"/>
      <w:r w:rsidRPr="00FB793C">
        <w:t>Voor de toekomst van de landbouw zijn verschillende transitiepaden denkbaar. Passend binnen de bovengenoemde kaders met verschillende verdienmodellen. Het is aan ondernemers om binnen die kaders hun bedrijf te kunnen uitoefenen.</w:t>
      </w:r>
      <w:r w:rsidR="00AB740F" w:rsidRPr="00FB793C">
        <w:t xml:space="preserve"> </w:t>
      </w:r>
      <w:r w:rsidR="00444368" w:rsidRPr="00FE7A1A">
        <w:t xml:space="preserve">Correctie van </w:t>
      </w:r>
      <w:proofErr w:type="spellStart"/>
      <w:r w:rsidR="00444368" w:rsidRPr="00FE7A1A">
        <w:t>marktfalen</w:t>
      </w:r>
      <w:proofErr w:type="spellEnd"/>
      <w:r w:rsidR="00444368" w:rsidRPr="00FE7A1A">
        <w:t xml:space="preserve">, door belasten van negatieve </w:t>
      </w:r>
      <w:proofErr w:type="spellStart"/>
      <w:r w:rsidR="00444368" w:rsidRPr="00FE7A1A">
        <w:t>externaliteiten</w:t>
      </w:r>
      <w:proofErr w:type="spellEnd"/>
      <w:r w:rsidR="00444368" w:rsidRPr="00FE7A1A">
        <w:t xml:space="preserve"> (emissies en inefficiënt nutri</w:t>
      </w:r>
      <w:r w:rsidR="00FB793C">
        <w:t>ë</w:t>
      </w:r>
      <w:r w:rsidR="00444368" w:rsidRPr="00FE7A1A">
        <w:t>ntengebruik) en belonen van positieve (ecosysteemdiensten, landschap enz.) worden vast onderdeel van ieder verdienmodel.</w:t>
      </w:r>
    </w:p>
    <w:p w14:paraId="67E6F397" w14:textId="616E45F5" w:rsidR="00A804C1" w:rsidRPr="00FB793C" w:rsidRDefault="00A804C1" w:rsidP="003C0CBE">
      <w:pPr>
        <w:pStyle w:val="Lijstalinea"/>
        <w:numPr>
          <w:ilvl w:val="0"/>
          <w:numId w:val="2"/>
        </w:numPr>
      </w:pPr>
      <w:r w:rsidRPr="00FB793C">
        <w:t>Grondbeleid</w:t>
      </w:r>
      <w:r w:rsidR="00AB740F" w:rsidRPr="00FB793C">
        <w:t xml:space="preserve">. </w:t>
      </w:r>
      <w:r w:rsidR="00444368" w:rsidRPr="00FE7A1A">
        <w:t>De overheid krijgt een</w:t>
      </w:r>
      <w:r w:rsidR="00AB740F" w:rsidRPr="00FB793C">
        <w:t xml:space="preserve"> wettelijk voorkeursrecht </w:t>
      </w:r>
      <w:r w:rsidR="00444368" w:rsidRPr="00FE7A1A">
        <w:t>bij</w:t>
      </w:r>
      <w:r w:rsidR="00AB740F" w:rsidRPr="00FB793C">
        <w:t xml:space="preserve"> grondverkoop om op basis daarvan te beoordelen of die grond ingezet kan worden om maatschappelijke doelen te realiseren.</w:t>
      </w:r>
      <w:r w:rsidR="00444368" w:rsidRPr="00FE7A1A">
        <w:t xml:space="preserve"> Behoud van areaal voor duurzame landbouw is daarbij wel het primaire doel. Het voorkeursrecht van de Staat bij uitkoop van bedrijven (stikstofbeleid) en het opzetten van een grondbank voor </w:t>
      </w:r>
      <w:r w:rsidR="00F5667E" w:rsidRPr="00FE7A1A">
        <w:t>bedrijfsverplaatsingen en -transities worden ondersteund, evenals het subsidiëren van afwaardering van grond t.b.v. extensivering (beleidsbrief min. Adema).</w:t>
      </w:r>
    </w:p>
    <w:p w14:paraId="6737B542" w14:textId="055CD7EB" w:rsidR="008B12C5" w:rsidRDefault="00F5667E" w:rsidP="003C0CBE">
      <w:pPr>
        <w:pStyle w:val="Lijstalinea"/>
        <w:numPr>
          <w:ilvl w:val="0"/>
          <w:numId w:val="2"/>
        </w:numPr>
      </w:pPr>
      <w:r w:rsidRPr="00FE7A1A">
        <w:t xml:space="preserve">Kennisontwikkeling en kennisverspreiding t.b.v. duurzame landbouw en verduurzaming van </w:t>
      </w:r>
      <w:proofErr w:type="spellStart"/>
      <w:r w:rsidRPr="00FE7A1A">
        <w:t>distributieketens</w:t>
      </w:r>
      <w:proofErr w:type="spellEnd"/>
      <w:r w:rsidRPr="00FE7A1A">
        <w:t xml:space="preserve"> worden actief ondersteund. Het op deze sectoren gericht beroeps- en wetenschappelijk onderwijs ontvangt aanvullende bekostiging voor kennisverspreiding t.b.v. transitie naar duurzaamheid</w:t>
      </w:r>
      <w:r w:rsidR="00580767">
        <w:t>.</w:t>
      </w:r>
    </w:p>
    <w:p w14:paraId="55D400FA" w14:textId="07C02067" w:rsidR="001165EC" w:rsidRDefault="001165EC" w:rsidP="001165EC"/>
    <w:p w14:paraId="70A7B734" w14:textId="5D6EE7B6" w:rsidR="001165EC" w:rsidRDefault="001165EC" w:rsidP="001165EC">
      <w:r>
        <w:t>Werkgroep landbouw binnen het Netwerk PvdA-Duurzaam</w:t>
      </w:r>
    </w:p>
    <w:p w14:paraId="02BC1E5E" w14:textId="24FD1F3A" w:rsidR="001165EC" w:rsidRDefault="001165EC" w:rsidP="001165EC">
      <w:r>
        <w:t>Joost de Jong, Jacky Bax, Keimpe van der Heide, Udo Teunis</w:t>
      </w:r>
    </w:p>
    <w:p w14:paraId="1DA3BDF4" w14:textId="14013D02" w:rsidR="001165EC" w:rsidRDefault="001165EC" w:rsidP="001165EC">
      <w:r>
        <w:t>December 2022</w:t>
      </w:r>
    </w:p>
    <w:sectPr w:rsidR="00116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43C"/>
    <w:multiLevelType w:val="hybridMultilevel"/>
    <w:tmpl w:val="241A48C4"/>
    <w:lvl w:ilvl="0" w:tplc="2C7608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097B9E"/>
    <w:multiLevelType w:val="hybridMultilevel"/>
    <w:tmpl w:val="33FA5ECA"/>
    <w:lvl w:ilvl="0" w:tplc="0413000F">
      <w:start w:val="1"/>
      <w:numFmt w:val="decimal"/>
      <w:lvlText w:val="%1."/>
      <w:lvlJc w:val="left"/>
      <w:pPr>
        <w:ind w:left="501"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92"/>
    <w:rsid w:val="0001272F"/>
    <w:rsid w:val="000B1675"/>
    <w:rsid w:val="00114BF2"/>
    <w:rsid w:val="001165EC"/>
    <w:rsid w:val="00117927"/>
    <w:rsid w:val="002009E7"/>
    <w:rsid w:val="00202B2B"/>
    <w:rsid w:val="0022438F"/>
    <w:rsid w:val="00286CA7"/>
    <w:rsid w:val="002A181B"/>
    <w:rsid w:val="002F04F2"/>
    <w:rsid w:val="002F636D"/>
    <w:rsid w:val="0038335E"/>
    <w:rsid w:val="003C0CBE"/>
    <w:rsid w:val="003F1BC2"/>
    <w:rsid w:val="00444368"/>
    <w:rsid w:val="0046032A"/>
    <w:rsid w:val="004F38DF"/>
    <w:rsid w:val="0051577E"/>
    <w:rsid w:val="00580767"/>
    <w:rsid w:val="006936E3"/>
    <w:rsid w:val="006A12BA"/>
    <w:rsid w:val="00734C50"/>
    <w:rsid w:val="007D296D"/>
    <w:rsid w:val="008659ED"/>
    <w:rsid w:val="008B12C5"/>
    <w:rsid w:val="00912AF6"/>
    <w:rsid w:val="009875BB"/>
    <w:rsid w:val="00A804C1"/>
    <w:rsid w:val="00AB740F"/>
    <w:rsid w:val="00B30F6D"/>
    <w:rsid w:val="00BF454D"/>
    <w:rsid w:val="00CB2865"/>
    <w:rsid w:val="00D269E4"/>
    <w:rsid w:val="00DC7BFC"/>
    <w:rsid w:val="00DD1BDB"/>
    <w:rsid w:val="00E10DF3"/>
    <w:rsid w:val="00EF3E55"/>
    <w:rsid w:val="00F5667E"/>
    <w:rsid w:val="00F86892"/>
    <w:rsid w:val="00FB793C"/>
    <w:rsid w:val="00FE7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A008"/>
  <w15:chartTrackingRefBased/>
  <w15:docId w15:val="{124174AB-156D-4A8C-B1EE-3F557FC7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6892"/>
    <w:pPr>
      <w:ind w:left="720"/>
      <w:contextualSpacing/>
    </w:pPr>
  </w:style>
  <w:style w:type="paragraph" w:styleId="Revisie">
    <w:name w:val="Revision"/>
    <w:hidden/>
    <w:uiPriority w:val="99"/>
    <w:semiHidden/>
    <w:rsid w:val="0046032A"/>
    <w:pPr>
      <w:spacing w:after="0" w:line="240" w:lineRule="auto"/>
    </w:pPr>
  </w:style>
  <w:style w:type="character" w:styleId="Verwijzingopmerking">
    <w:name w:val="annotation reference"/>
    <w:basedOn w:val="Standaardalinea-lettertype"/>
    <w:uiPriority w:val="99"/>
    <w:semiHidden/>
    <w:unhideWhenUsed/>
    <w:rsid w:val="00202B2B"/>
    <w:rPr>
      <w:sz w:val="16"/>
      <w:szCs w:val="16"/>
    </w:rPr>
  </w:style>
  <w:style w:type="paragraph" w:styleId="Tekstopmerking">
    <w:name w:val="annotation text"/>
    <w:basedOn w:val="Standaard"/>
    <w:link w:val="TekstopmerkingChar"/>
    <w:uiPriority w:val="99"/>
    <w:semiHidden/>
    <w:unhideWhenUsed/>
    <w:rsid w:val="00202B2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2B2B"/>
    <w:rPr>
      <w:sz w:val="20"/>
      <w:szCs w:val="20"/>
    </w:rPr>
  </w:style>
  <w:style w:type="paragraph" w:styleId="Onderwerpvanopmerking">
    <w:name w:val="annotation subject"/>
    <w:basedOn w:val="Tekstopmerking"/>
    <w:next w:val="Tekstopmerking"/>
    <w:link w:val="OnderwerpvanopmerkingChar"/>
    <w:uiPriority w:val="99"/>
    <w:semiHidden/>
    <w:unhideWhenUsed/>
    <w:rsid w:val="00202B2B"/>
    <w:rPr>
      <w:b/>
      <w:bCs/>
    </w:rPr>
  </w:style>
  <w:style w:type="character" w:customStyle="1" w:styleId="OnderwerpvanopmerkingChar">
    <w:name w:val="Onderwerp van opmerking Char"/>
    <w:basedOn w:val="TekstopmerkingChar"/>
    <w:link w:val="Onderwerpvanopmerking"/>
    <w:uiPriority w:val="99"/>
    <w:semiHidden/>
    <w:rsid w:val="00202B2B"/>
    <w:rPr>
      <w:b/>
      <w:bCs/>
      <w:sz w:val="20"/>
      <w:szCs w:val="20"/>
    </w:rPr>
  </w:style>
  <w:style w:type="paragraph" w:styleId="Ballontekst">
    <w:name w:val="Balloon Text"/>
    <w:basedOn w:val="Standaard"/>
    <w:link w:val="BallontekstChar"/>
    <w:uiPriority w:val="99"/>
    <w:semiHidden/>
    <w:unhideWhenUsed/>
    <w:rsid w:val="00734C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4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9F67-85D7-43D0-B284-40BF1180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1256</Words>
  <Characters>6911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Jong</dc:creator>
  <cp:keywords/>
  <dc:description/>
  <cp:lastModifiedBy>Joost de Jong</cp:lastModifiedBy>
  <cp:revision>3</cp:revision>
  <cp:lastPrinted>2022-12-07T10:16:00Z</cp:lastPrinted>
  <dcterms:created xsi:type="dcterms:W3CDTF">2023-03-15T13:24:00Z</dcterms:created>
  <dcterms:modified xsi:type="dcterms:W3CDTF">2023-03-18T09:22:00Z</dcterms:modified>
</cp:coreProperties>
</file>